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2B" w:rsidRPr="00DC7152" w:rsidRDefault="00CC092B" w:rsidP="00DC7152">
      <w:pPr>
        <w:jc w:val="both"/>
        <w:rPr>
          <w:rFonts w:asciiTheme="majorHAnsi" w:hAnsiTheme="majorHAnsi" w:cs="Times New Roman"/>
          <w:b/>
        </w:rPr>
      </w:pPr>
      <w:r w:rsidRPr="00B724BF">
        <w:rPr>
          <w:rFonts w:asciiTheme="majorHAnsi" w:hAnsiTheme="majorHAnsi" w:cs="Times New Roman"/>
          <w:b/>
        </w:rPr>
        <w:t>SOOVITUSLIK AJAKAVA</w:t>
      </w:r>
    </w:p>
    <w:p w:rsidR="00CC092B" w:rsidRPr="00B724BF" w:rsidRDefault="00DC7152" w:rsidP="00B724BF">
      <w:pPr>
        <w:ind w:left="2410" w:hanging="2410"/>
        <w:jc w:val="both"/>
        <w:rPr>
          <w:rFonts w:asciiTheme="majorHAnsi" w:hAnsiTheme="majorHAnsi" w:cs="Times New Roman"/>
        </w:rPr>
      </w:pPr>
      <w:r>
        <w:rPr>
          <w:rFonts w:asciiTheme="majorHAnsi" w:hAnsiTheme="majorHAnsi" w:cs="Times New Roman"/>
        </w:rPr>
        <w:t xml:space="preserve">Aprill </w:t>
      </w:r>
      <w:r w:rsidR="00CC092B" w:rsidRPr="00B724BF">
        <w:rPr>
          <w:rFonts w:asciiTheme="majorHAnsi" w:hAnsiTheme="majorHAnsi" w:cs="Times New Roman"/>
        </w:rPr>
        <w:t>2017 – 30.09.2017</w:t>
      </w:r>
      <w:r w:rsidR="00CC092B" w:rsidRPr="00B724BF">
        <w:rPr>
          <w:rFonts w:asciiTheme="majorHAnsi" w:hAnsiTheme="majorHAnsi" w:cs="Times New Roman"/>
        </w:rPr>
        <w:tab/>
      </w:r>
      <w:r w:rsidRPr="00B724BF">
        <w:rPr>
          <w:rFonts w:asciiTheme="majorHAnsi" w:hAnsiTheme="majorHAnsi" w:cs="Times New Roman"/>
        </w:rPr>
        <w:t>Noortežürii moodustamine ja konkursi tingimuste välja kuulutamine oma piirkonnas.  Noorte teavitamine konkursist.</w:t>
      </w:r>
      <w:r>
        <w:rPr>
          <w:rFonts w:asciiTheme="majorHAnsi" w:hAnsiTheme="majorHAnsi" w:cs="Times New Roman"/>
        </w:rPr>
        <w:t xml:space="preserve"> </w:t>
      </w:r>
      <w:r w:rsidR="00CC092B" w:rsidRPr="00B724BF">
        <w:rPr>
          <w:rFonts w:asciiTheme="majorHAnsi" w:hAnsiTheme="majorHAnsi" w:cs="Times New Roman"/>
        </w:rPr>
        <w:t>Taotluste esitamine noorte kunstnike poolt. Noorte teavitamine konkursist ja taotlemise tingimustest.</w:t>
      </w:r>
    </w:p>
    <w:p w:rsidR="00CC092B" w:rsidRPr="00B724BF" w:rsidRDefault="00CC092B" w:rsidP="00B724BF">
      <w:pPr>
        <w:ind w:left="2410" w:hanging="2410"/>
        <w:jc w:val="both"/>
        <w:rPr>
          <w:rFonts w:asciiTheme="majorHAnsi" w:hAnsiTheme="majorHAnsi" w:cs="Times New Roman"/>
        </w:rPr>
      </w:pPr>
      <w:r w:rsidRPr="00B724BF">
        <w:rPr>
          <w:rFonts w:asciiTheme="majorHAnsi" w:hAnsiTheme="majorHAnsi" w:cs="Times New Roman"/>
        </w:rPr>
        <w:t>1.10.2017 – 31.10.2017</w:t>
      </w:r>
      <w:r w:rsidRPr="00B724BF">
        <w:rPr>
          <w:rFonts w:asciiTheme="majorHAnsi" w:hAnsiTheme="majorHAnsi" w:cs="Times New Roman"/>
        </w:rPr>
        <w:tab/>
        <w:t xml:space="preserve">Žürii poolt taotluste läbivaatamine, otsuse tegemine. Välja valitud kunstnike teavitamine. </w:t>
      </w:r>
    </w:p>
    <w:p w:rsidR="00CC092B" w:rsidRPr="00B724BF" w:rsidRDefault="00B724BF" w:rsidP="00CC092B">
      <w:pPr>
        <w:jc w:val="both"/>
        <w:rPr>
          <w:rFonts w:asciiTheme="majorHAnsi" w:hAnsiTheme="majorHAnsi" w:cs="Times New Roman"/>
        </w:rPr>
      </w:pPr>
      <w:r>
        <w:rPr>
          <w:rFonts w:asciiTheme="majorHAnsi" w:hAnsiTheme="majorHAnsi" w:cs="Times New Roman"/>
        </w:rPr>
        <w:t xml:space="preserve">1.11.2017 - 30.11.2017    </w:t>
      </w:r>
      <w:r w:rsidR="00CC092B" w:rsidRPr="00B724BF">
        <w:rPr>
          <w:rFonts w:asciiTheme="majorHAnsi" w:hAnsiTheme="majorHAnsi" w:cs="Times New Roman"/>
        </w:rPr>
        <w:t xml:space="preserve">Näitusekavade avalikustamine. </w:t>
      </w:r>
    </w:p>
    <w:p w:rsidR="00CC092B" w:rsidRPr="00B724BF" w:rsidRDefault="00CC092B" w:rsidP="00B724BF">
      <w:pPr>
        <w:ind w:left="2410" w:hanging="2410"/>
        <w:jc w:val="both"/>
        <w:rPr>
          <w:rFonts w:asciiTheme="majorHAnsi" w:hAnsiTheme="majorHAnsi" w:cs="Times New Roman"/>
        </w:rPr>
      </w:pPr>
      <w:r w:rsidRPr="00B724BF">
        <w:rPr>
          <w:rFonts w:asciiTheme="majorHAnsi" w:hAnsiTheme="majorHAnsi" w:cs="Times New Roman"/>
        </w:rPr>
        <w:t>1.12.2017 -</w:t>
      </w:r>
      <w:r w:rsidR="00B724BF">
        <w:rPr>
          <w:rFonts w:asciiTheme="majorHAnsi" w:hAnsiTheme="majorHAnsi" w:cs="Times New Roman"/>
        </w:rPr>
        <w:t xml:space="preserve"> </w:t>
      </w:r>
      <w:r w:rsidRPr="00B724BF">
        <w:rPr>
          <w:rFonts w:asciiTheme="majorHAnsi" w:hAnsiTheme="majorHAnsi" w:cs="Times New Roman"/>
        </w:rPr>
        <w:t xml:space="preserve">31.12.2017 </w:t>
      </w:r>
      <w:r w:rsidRPr="00B724BF">
        <w:rPr>
          <w:rFonts w:asciiTheme="majorHAnsi" w:hAnsiTheme="majorHAnsi" w:cs="Times New Roman"/>
        </w:rPr>
        <w:tab/>
        <w:t xml:space="preserve">Noortega, kelle näitused toimuvad 2018 I kvartalis, suhtlemine ja kokkulepete tegemine. </w:t>
      </w:r>
    </w:p>
    <w:p w:rsidR="00CC092B" w:rsidRPr="00B724BF" w:rsidRDefault="00CC092B" w:rsidP="00B724BF">
      <w:pPr>
        <w:ind w:left="2410" w:hanging="2410"/>
        <w:jc w:val="both"/>
        <w:rPr>
          <w:rFonts w:asciiTheme="majorHAnsi" w:hAnsiTheme="majorHAnsi" w:cs="Times New Roman"/>
        </w:rPr>
      </w:pPr>
      <w:r w:rsidRPr="00B724BF">
        <w:rPr>
          <w:rFonts w:asciiTheme="majorHAnsi" w:hAnsiTheme="majorHAnsi" w:cs="Times New Roman"/>
        </w:rPr>
        <w:t>2.01.2018 – 29.12.2018</w:t>
      </w:r>
      <w:r w:rsidRPr="00B724BF">
        <w:rPr>
          <w:rFonts w:asciiTheme="majorHAnsi" w:hAnsiTheme="majorHAnsi" w:cs="Times New Roman"/>
        </w:rPr>
        <w:tab/>
        <w:t>Noorte näitused üle Eesti raamatukogudes</w:t>
      </w:r>
    </w:p>
    <w:p w:rsidR="00CC092B" w:rsidRPr="00B724BF" w:rsidRDefault="00CC092B" w:rsidP="00CC092B">
      <w:pPr>
        <w:pStyle w:val="Normaallaadveeb"/>
        <w:jc w:val="both"/>
        <w:rPr>
          <w:rFonts w:asciiTheme="majorHAnsi" w:hAnsiTheme="majorHAnsi"/>
          <w:sz w:val="22"/>
          <w:szCs w:val="22"/>
        </w:rPr>
      </w:pP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Iga maakonna keskraamatukogu valib enda töötajate hulgast kontaktisiku (edaspidi kontaktisik või maakonna kontaktisik). Tema ülesandeks on suhelda oma maakonna raamatukogudega, moodustada noortežürii ning suhelda avalikkusega jms. Tema on kontaktisikuks suhtlemisel teiste keskraamatukogudega ning Tallinna Keskraamatukoguga.</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 xml:space="preserve">Kontaktisik koordineerib antud maakonna raamatukogude  näitusepindade ja võimaluste kaardistamist ning vajadusel juhendab kaardistamisel raamatukoguhoidjaid. Kontaktisik tagab, et maakonna peale valmib ühine näitusepindade kirjelduste tabel. </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 xml:space="preserve">Kontaktisik leiab võimaluse, kuidas näitusepinna kirjelduste tabel avalikustada maakonna keskraamatukogu veebilehel. </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 xml:space="preserve">Antud maakonnas olevad raamatukogud otsustavad kohapeal ise, </w:t>
      </w:r>
      <w:r w:rsidRPr="00B724BF">
        <w:rPr>
          <w:rFonts w:asciiTheme="majorHAnsi" w:hAnsiTheme="majorHAnsi"/>
        </w:rPr>
        <w:t>kas noortežürii moodustatakse iga raamatukogu või ainult maakonna keskraamatukogu või valla keskraamatukogu juurde.</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Raamatukogudel on vabad käed otsustamaks, kuidas nende maakonnas noortežüriid moodustatakse. Noorežürii liikmeteks võiksid olla noored ise, raamatukoguhoidjad, kohalikud kunstieksperdid jne. Noorte kaasamisel võib kontakteeruda olemasolevate noortegruppidega, nagu näiteks maakonna osaluskogud, koolide õpilasomavalitsused, kunstiringi õpilased jne. Liikmete värbamiseks võib välja kuulutada ka individuaalse konkursi.</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 xml:space="preserve">Noortežürii ülesandeks on raamatukogude etteantud juhiste järgi koostada konkursikuulutus, taotlusvorm (näidis lisatud, kuid seda võib iga raamatukogu muuta) ja määrata konkursi tingimused. Konkursi tingimustes on kirjas, milline raamatukogu taotluste vastuvõtmisega tegeleb. </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Näituse teemad on soovituslikud ning soovi korral võib noortežürii teemasid kitsendada või laiendada.</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 xml:space="preserve">Noortežürii või raamatukogu võib konkursi vältel korraldada erinevaid üritusi kunstnike leidmiseks või määrata, et näitusekava jaotatakse piirkonnas asuvate koolide, lasteaedade </w:t>
      </w:r>
      <w:r w:rsidRPr="00B724BF">
        <w:rPr>
          <w:rFonts w:asciiTheme="majorHAnsi" w:hAnsiTheme="majorHAnsi" w:cs="Times New Roman"/>
        </w:rPr>
        <w:lastRenderedPageBreak/>
        <w:t xml:space="preserve">ja huvikoolide vahel ära. Raamatukogud ja noortežürii võivad teha ka suunatuid pakkumisi kindlatele gruppidele või kunstnikele. </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rPr>
        <w:t>Kogu konkursi vältel peavad raamatukogude veebilehtedel olema kättesaadaval kandideerimisinfo ja raamatukogu näitusepindade tingimuste kirjeldused.</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Raamatukogud tagavad, et raamatukogus kohapeal ja antud piirkonnas on väljas konkurssi tutvustavad reklaamid. Maakonna kontaktisik tagab teavitamise maakonna tasandil.</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 xml:space="preserve">Peale taotluse esitamise tähtaja möödumist kutsub raamatukogu kokku noortežürii, kes otsustab, millised taotlused välja valitakse ja milline saab olema antud raamatukogu näitusekava. Näitusekava koostamisel tuleks silmas pidada, et näitused saaksid võimalikult mitmekesised. Esindatud võiksid olla erinevad vanused, stiilid jne. Ei tohiks peljata ka neid ideid, mis esimese hooga ei pruugi antud raamatukogu võimalustele vastata. Sellisel juhul tasuks mõelda, milliseid vahendeid oleks vaja ja kuidas oleks võimalik seda ideed teostada. Kui noor on välja pakkunud näituse toimumiskohaks raamatukogu sellise ruumi, mida raamatukogu ise ei ole välja pakkunud, kuid mida noor raamatukogu kasutajana oskab välja pakkuda (näiteks raamatukogu koridor), ka siis tasuks kaaluda, kas ja kuidas oleks võimalik seal näitust teha. </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Võimalusel tunnustab raamatukogu noortežürii liikmeid meenega tänutäheks osalemise eest.</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Raamatukogu tagab näitusekava avalikustamise ning kõikidele taotluste esitajatele vastuse (ka äraütleva vastuse) saatmise. Raamatukogu alustab kohe ka ühenduse</w:t>
      </w:r>
      <w:r w:rsidR="00B724BF">
        <w:rPr>
          <w:rFonts w:asciiTheme="majorHAnsi" w:hAnsiTheme="majorHAnsi" w:cs="Times New Roman"/>
        </w:rPr>
        <w:t xml:space="preserve"> </w:t>
      </w:r>
      <w:r w:rsidRPr="00B724BF">
        <w:rPr>
          <w:rFonts w:asciiTheme="majorHAnsi" w:hAnsiTheme="majorHAnsi" w:cs="Times New Roman"/>
        </w:rPr>
        <w:t xml:space="preserve">võtmist nendega, kes hakkavad näitusi tegema.  </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 xml:space="preserve">Raamatukogus näituse läbiviimine on tasuta. Vajadusel aitab raamatukogu kunstnikul või kunstnikegrupil taotleda toetust näituse teostamiseks (fotode väljaprintimine, vahendite hankimine jms). Raamatukogud võivad otsida lisarahastust ja toetust kohalikelt firmadelt või aidata kirjutada projektitaotlusi. </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 xml:space="preserve">Nii taotluste esitamise ajal kui näituste toimumisaastal võiks korraldada erinevaid koolitusi ja üritusi noortele – projektikirjutamise koolitus, erinevad kunstitöötoad jne. </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Raamatukogu juhendamisel võiksid toimuda ka iga näituse avamised. See võimaldaks noortel saada kogemuse ürituste korraldamises ja arendaks nende ettevõtlikkust. Näituse avamisürituse ettevalmistamiseks võib koostada noorte jaoks näidiskava ning see siis nendega koos läbi töötada.</w:t>
      </w:r>
    </w:p>
    <w:p w:rsidR="00CC092B" w:rsidRPr="00B724BF" w:rsidRDefault="00CC092B" w:rsidP="00CC092B">
      <w:pPr>
        <w:pStyle w:val="Loendilik"/>
        <w:numPr>
          <w:ilvl w:val="0"/>
          <w:numId w:val="1"/>
        </w:numPr>
        <w:spacing w:line="240" w:lineRule="auto"/>
        <w:ind w:left="516" w:hanging="374"/>
        <w:contextualSpacing w:val="0"/>
        <w:jc w:val="both"/>
        <w:rPr>
          <w:rFonts w:asciiTheme="majorHAnsi" w:hAnsiTheme="majorHAnsi" w:cs="Times New Roman"/>
        </w:rPr>
      </w:pPr>
      <w:r w:rsidRPr="00B724BF">
        <w:rPr>
          <w:rFonts w:asciiTheme="majorHAnsi" w:hAnsiTheme="majorHAnsi" w:cs="Times New Roman"/>
        </w:rPr>
        <w:t>Näituse juures võiks olla külalisteraamat, kus iga külastaja saab jätta oma tagasiside.</w:t>
      </w:r>
    </w:p>
    <w:p w:rsidR="00510765" w:rsidRPr="00B724BF" w:rsidRDefault="00510765">
      <w:pPr>
        <w:rPr>
          <w:rFonts w:asciiTheme="majorHAnsi" w:hAnsiTheme="majorHAnsi"/>
        </w:rPr>
      </w:pPr>
    </w:p>
    <w:sectPr w:rsidR="00510765" w:rsidRPr="00B724BF" w:rsidSect="0051076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2CE" w:rsidRDefault="00C472CE" w:rsidP="00CC092B">
      <w:pPr>
        <w:spacing w:after="0" w:line="240" w:lineRule="auto"/>
      </w:pPr>
      <w:r>
        <w:separator/>
      </w:r>
    </w:p>
  </w:endnote>
  <w:endnote w:type="continuationSeparator" w:id="0">
    <w:p w:rsidR="00C472CE" w:rsidRDefault="00C472CE" w:rsidP="00CC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2CE" w:rsidRDefault="00C472CE" w:rsidP="00CC092B">
      <w:pPr>
        <w:spacing w:after="0" w:line="240" w:lineRule="auto"/>
      </w:pPr>
      <w:r>
        <w:separator/>
      </w:r>
    </w:p>
  </w:footnote>
  <w:footnote w:type="continuationSeparator" w:id="0">
    <w:p w:rsidR="00C472CE" w:rsidRDefault="00C472CE" w:rsidP="00CC0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2B" w:rsidRPr="00857360" w:rsidRDefault="00CC092B" w:rsidP="00CC092B">
    <w:pPr>
      <w:rPr>
        <w:rFonts w:ascii="Times New Roman" w:hAnsi="Times New Roman" w:cs="Times New Roman"/>
        <w:sz w:val="24"/>
        <w:szCs w:val="24"/>
      </w:rPr>
    </w:pPr>
    <w:r>
      <w:ptab w:relativeTo="margin" w:alignment="right" w:leader="none"/>
    </w:r>
    <w:r w:rsidRPr="00CC092B">
      <w:rPr>
        <w:rFonts w:ascii="Times New Roman" w:hAnsi="Times New Roman" w:cs="Times New Roman"/>
        <w:sz w:val="24"/>
        <w:szCs w:val="24"/>
      </w:rPr>
      <w:t xml:space="preserve"> </w:t>
    </w:r>
    <w:r>
      <w:rPr>
        <w:rFonts w:ascii="Times New Roman" w:hAnsi="Times New Roman" w:cs="Times New Roman"/>
        <w:sz w:val="24"/>
        <w:szCs w:val="24"/>
      </w:rPr>
      <w:t>JUHEND RAAMATUKOGUDELE</w:t>
    </w:r>
  </w:p>
  <w:p w:rsidR="00CC092B" w:rsidRDefault="00CC092B">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872CD"/>
    <w:multiLevelType w:val="hybridMultilevel"/>
    <w:tmpl w:val="C64835EC"/>
    <w:lvl w:ilvl="0" w:tplc="05FCD408">
      <w:start w:val="1"/>
      <w:numFmt w:val="decimal"/>
      <w:lvlText w:val="%1)"/>
      <w:lvlJc w:val="left"/>
      <w:pPr>
        <w:ind w:left="517" w:hanging="37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092B"/>
    <w:rsid w:val="002D00C9"/>
    <w:rsid w:val="00451868"/>
    <w:rsid w:val="004E6538"/>
    <w:rsid w:val="00510765"/>
    <w:rsid w:val="00B724BF"/>
    <w:rsid w:val="00BB42E1"/>
    <w:rsid w:val="00C472CE"/>
    <w:rsid w:val="00CC092B"/>
    <w:rsid w:val="00DC715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C092B"/>
    <w:rPr>
      <w:rFonts w:eastAsiaTheme="minorEastAsia"/>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CC092B"/>
    <w:pPr>
      <w:spacing w:before="100" w:beforeAutospacing="1" w:after="100" w:afterAutospacing="1" w:line="240" w:lineRule="auto"/>
    </w:pPr>
    <w:rPr>
      <w:rFonts w:ascii="Times New Roman" w:hAnsi="Times New Roman" w:cs="Times New Roman"/>
      <w:sz w:val="24"/>
      <w:szCs w:val="24"/>
    </w:rPr>
  </w:style>
  <w:style w:type="paragraph" w:styleId="Loendilik">
    <w:name w:val="List Paragraph"/>
    <w:basedOn w:val="Normaallaad"/>
    <w:uiPriority w:val="34"/>
    <w:qFormat/>
    <w:rsid w:val="00CC092B"/>
    <w:pPr>
      <w:ind w:left="720"/>
      <w:contextualSpacing/>
    </w:pPr>
  </w:style>
  <w:style w:type="paragraph" w:styleId="Pis">
    <w:name w:val="header"/>
    <w:basedOn w:val="Normaallaad"/>
    <w:link w:val="PisMrk"/>
    <w:uiPriority w:val="99"/>
    <w:semiHidden/>
    <w:unhideWhenUsed/>
    <w:rsid w:val="00CC092B"/>
    <w:pPr>
      <w:tabs>
        <w:tab w:val="center" w:pos="4536"/>
        <w:tab w:val="right" w:pos="9072"/>
      </w:tabs>
      <w:spacing w:after="0" w:line="240" w:lineRule="auto"/>
    </w:pPr>
  </w:style>
  <w:style w:type="character" w:customStyle="1" w:styleId="PisMrk">
    <w:name w:val="Päis Märk"/>
    <w:basedOn w:val="Liguvaikefont"/>
    <w:link w:val="Pis"/>
    <w:uiPriority w:val="99"/>
    <w:semiHidden/>
    <w:rsid w:val="00CC092B"/>
    <w:rPr>
      <w:rFonts w:eastAsiaTheme="minorEastAsia"/>
      <w:lang w:eastAsia="et-EE"/>
    </w:rPr>
  </w:style>
  <w:style w:type="paragraph" w:styleId="Jalus">
    <w:name w:val="footer"/>
    <w:basedOn w:val="Normaallaad"/>
    <w:link w:val="JalusMrk"/>
    <w:uiPriority w:val="99"/>
    <w:semiHidden/>
    <w:unhideWhenUsed/>
    <w:rsid w:val="00CC092B"/>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C092B"/>
    <w:rPr>
      <w:rFonts w:eastAsiaTheme="minorEastAsia"/>
      <w:lang w:eastAsia="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715</Words>
  <Characters>4148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maarja</dc:creator>
  <cp:lastModifiedBy>maarja</cp:lastModifiedBy>
  <cp:revision>3</cp:revision>
  <dcterms:created xsi:type="dcterms:W3CDTF">2016-06-10T10:35:00Z</dcterms:created>
  <dcterms:modified xsi:type="dcterms:W3CDTF">2017-01-11T07:30:00Z</dcterms:modified>
</cp:coreProperties>
</file>